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683" w:rsidRPr="00720683" w:rsidRDefault="00720683" w:rsidP="00720683">
      <w:pPr>
        <w:shd w:val="clear" w:color="auto" w:fill="FFFFFF"/>
        <w:spacing w:after="150" w:line="240" w:lineRule="auto"/>
        <w:textAlignment w:val="baseline"/>
        <w:outlineLvl w:val="2"/>
        <w:rPr>
          <w:rFonts w:ascii="impactregular" w:eastAsia="Times New Roman" w:hAnsi="impactregular" w:cs="Times New Roman"/>
          <w:color w:val="093043"/>
          <w:sz w:val="53"/>
          <w:szCs w:val="53"/>
        </w:rPr>
      </w:pPr>
      <w:r w:rsidRPr="00720683">
        <w:rPr>
          <w:rFonts w:ascii="impactregular" w:eastAsia="Times New Roman" w:hAnsi="impactregular" w:cs="Times New Roman"/>
          <w:color w:val="093043"/>
          <w:sz w:val="53"/>
          <w:szCs w:val="53"/>
        </w:rPr>
        <w:t>Full Time Employee Benefits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 xml:space="preserve">New starting pay rates effective 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9/22/25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 xml:space="preserve"> for Full Time Youth Counselor with high school diploma $1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9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.00/hour, Full Time Youth Counselor with Bachelor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’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s degree $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20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.00/hour, Full Time Overnight $1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9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.00/hour, Part Time Youth Counselor and Part Time Overnight $17.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75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/hour, Teacher $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50,107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/salary, Special Education Teacher $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53,643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 xml:space="preserve">/salary, </w:t>
      </w:r>
      <w:r w:rsidR="00947FC5">
        <w:rPr>
          <w:rFonts w:ascii="Times New Roman" w:eastAsia="Times New Roman" w:hAnsi="Times New Roman" w:cs="Times New Roman"/>
          <w:color w:val="545765"/>
          <w:sz w:val="23"/>
          <w:szCs w:val="23"/>
        </w:rPr>
        <w:t xml:space="preserve">and </w:t>
      </w:r>
      <w:bookmarkStart w:id="0" w:name="_GoBack"/>
      <w:bookmarkEnd w:id="0"/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School Associate $1</w:t>
      </w:r>
      <w:r w:rsidR="00AE035B">
        <w:rPr>
          <w:rFonts w:ascii="Times New Roman" w:eastAsia="Times New Roman" w:hAnsi="Times New Roman" w:cs="Times New Roman"/>
          <w:color w:val="545765"/>
          <w:sz w:val="23"/>
          <w:szCs w:val="23"/>
        </w:rPr>
        <w:t>9</w:t>
      </w: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.00/hour.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Employee Assistance Program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Employee Educational Assistance Program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Medical/dental/vision/prescription insurance that begins after 30 days.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A flexible spending account program is offered.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 xml:space="preserve">Short-Term disability and long-term disability </w:t>
      </w:r>
      <w:proofErr w:type="gramStart"/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is</w:t>
      </w:r>
      <w:proofErr w:type="gramEnd"/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 xml:space="preserve"> offered.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A 401K retirement plan is offered following 60 days of employment.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Paid Time Off (PTO) is provided by the company and is utilized as a collective pool of eligible paid time off in lieu of traditional sick, vacation, and personal leave balances.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There are seven (7) paid holidays.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Meals provided during cafeteria hours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You will receive your BIRTHDAY as a paid day off. Happy Birthday!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Housing opportunities are offered.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Parental Leave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There are also other ways to earn extra money, such as assisting with student intramurals or coaching opportunities.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Woodward Academy has an employee wellness program. Employees can earn prizes and Woodward Academy clothing.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After you have been a WA Full-Time employee for 7 (seven) years you will receive four (4) weeks of paid time off. This does NOT count against your PTO hours.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proofErr w:type="spellStart"/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  <w:bdr w:val="none" w:sz="0" w:space="0" w:color="auto" w:frame="1"/>
        </w:rPr>
        <w:t>DailyPay</w:t>
      </w:r>
      <w:proofErr w:type="spellEnd"/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  <w:bdr w:val="none" w:sz="0" w:space="0" w:color="auto" w:frame="1"/>
        </w:rPr>
        <w:t xml:space="preserve"> is a company sponsored benefit that allows employees to voluntarily access a portion of their base wages in advance of their pay date. </w:t>
      </w:r>
    </w:p>
    <w:p w:rsidR="00720683" w:rsidRPr="00720683" w:rsidRDefault="00720683" w:rsidP="00720683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45765"/>
          <w:sz w:val="23"/>
          <w:szCs w:val="23"/>
        </w:rPr>
      </w:pPr>
      <w:r w:rsidRPr="00720683">
        <w:rPr>
          <w:rFonts w:ascii="Times New Roman" w:eastAsia="Times New Roman" w:hAnsi="Times New Roman" w:cs="Times New Roman"/>
          <w:color w:val="545765"/>
          <w:sz w:val="23"/>
          <w:szCs w:val="23"/>
        </w:rPr>
        <w:t>On site gym access</w:t>
      </w:r>
    </w:p>
    <w:p w:rsidR="00593822" w:rsidRDefault="00593822"/>
    <w:sectPr w:rsidR="0059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30473"/>
    <w:multiLevelType w:val="hybridMultilevel"/>
    <w:tmpl w:val="B0AC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6687B"/>
    <w:multiLevelType w:val="multilevel"/>
    <w:tmpl w:val="F55C6A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3"/>
    <w:rsid w:val="00593822"/>
    <w:rsid w:val="00720683"/>
    <w:rsid w:val="00947FC5"/>
    <w:rsid w:val="00A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552D"/>
  <w15:chartTrackingRefBased/>
  <w15:docId w15:val="{477A3B46-02E4-41E5-980A-17588EF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0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06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2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Garvin</dc:creator>
  <cp:keywords/>
  <dc:description/>
  <cp:lastModifiedBy>Marcia Dodds</cp:lastModifiedBy>
  <cp:revision>3</cp:revision>
  <dcterms:created xsi:type="dcterms:W3CDTF">2025-09-11T14:21:00Z</dcterms:created>
  <dcterms:modified xsi:type="dcterms:W3CDTF">2025-09-11T14:21:00Z</dcterms:modified>
</cp:coreProperties>
</file>